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E5" w:rsidRPr="009438E5" w:rsidRDefault="009438E5" w:rsidP="009438E5">
      <w:pPr>
        <w:spacing w:after="0" w:line="240" w:lineRule="auto"/>
        <w:jc w:val="center"/>
        <w:rPr>
          <w:rFonts w:ascii="Papyrus" w:hAnsi="Papyrus"/>
          <w:b/>
          <w:sz w:val="40"/>
        </w:rPr>
      </w:pPr>
      <w:bookmarkStart w:id="0" w:name="_GoBack"/>
      <w:bookmarkEnd w:id="0"/>
      <w:r w:rsidRPr="009438E5">
        <w:rPr>
          <w:rFonts w:ascii="Papyrus" w:hAnsi="Papyrus"/>
          <w:b/>
          <w:sz w:val="40"/>
        </w:rPr>
        <w:t>Turtle 7</w:t>
      </w:r>
    </w:p>
    <w:p w:rsidR="009438E5" w:rsidRPr="009438E5" w:rsidRDefault="009438E5" w:rsidP="009438E5">
      <w:pPr>
        <w:spacing w:after="0" w:line="240" w:lineRule="auto"/>
        <w:jc w:val="center"/>
        <w:rPr>
          <w:rFonts w:ascii="Papyrus" w:hAnsi="Papyrus"/>
          <w:sz w:val="28"/>
        </w:rPr>
      </w:pPr>
      <w:r>
        <w:rPr>
          <w:rFonts w:ascii="Papyrus" w:hAnsi="Papyrus"/>
          <w:sz w:val="28"/>
        </w:rPr>
        <w:t>Library and Information Resources</w:t>
      </w:r>
    </w:p>
    <w:p w:rsidR="009438E5" w:rsidRPr="009438E5" w:rsidRDefault="009438E5" w:rsidP="009438E5">
      <w:pPr>
        <w:spacing w:after="0" w:line="240" w:lineRule="auto"/>
        <w:jc w:val="center"/>
        <w:rPr>
          <w:rFonts w:ascii="Papyrus" w:hAnsi="Papyrus"/>
        </w:rPr>
      </w:pPr>
    </w:p>
    <w:p w:rsidR="003B6C36" w:rsidRPr="003B6C36" w:rsidRDefault="003B6C36" w:rsidP="003B6C36">
      <w:pPr>
        <w:spacing w:after="0" w:line="240" w:lineRule="auto"/>
        <w:rPr>
          <w:rFonts w:ascii="Papyrus" w:eastAsia="Times New Roman" w:hAnsi="Papyrus" w:cs="Arial"/>
          <w:b/>
          <w:bCs/>
        </w:rPr>
      </w:pPr>
      <w:r w:rsidRPr="003B6C36">
        <w:rPr>
          <w:rFonts w:ascii="Papyrus" w:eastAsia="Times New Roman" w:hAnsi="Papyrus" w:cs="Arial"/>
          <w:b/>
          <w:bCs/>
        </w:rPr>
        <w:t>Summary:</w:t>
      </w:r>
    </w:p>
    <w:p w:rsidR="003B6C36" w:rsidRPr="003B6C36" w:rsidRDefault="003B6C36" w:rsidP="003B6C36">
      <w:pPr>
        <w:spacing w:after="0" w:line="240" w:lineRule="auto"/>
        <w:rPr>
          <w:rFonts w:ascii="Papyrus" w:eastAsia="Times New Roman" w:hAnsi="Papyrus" w:cs="Arial"/>
          <w:bCs/>
        </w:rPr>
      </w:pPr>
      <w:r w:rsidRPr="003B6C36">
        <w:rPr>
          <w:rFonts w:ascii="Papyrus" w:eastAsia="Times New Roman" w:hAnsi="Papyrus" w:cs="Arial"/>
          <w:bCs/>
        </w:rPr>
        <w:t xml:space="preserve">This group is responsible for </w:t>
      </w:r>
      <w:r>
        <w:rPr>
          <w:rFonts w:ascii="Papyrus" w:eastAsia="Times New Roman" w:hAnsi="Papyrus" w:cs="Arial"/>
          <w:bCs/>
        </w:rPr>
        <w:t>reporting on</w:t>
      </w:r>
      <w:r w:rsidRPr="003B6C36">
        <w:rPr>
          <w:rFonts w:ascii="Papyrus" w:eastAsia="Times New Roman" w:hAnsi="Papyrus" w:cs="Arial"/>
          <w:bCs/>
        </w:rPr>
        <w:t xml:space="preserve"> how the college</w:t>
      </w:r>
      <w:r>
        <w:rPr>
          <w:rFonts w:ascii="Papyrus" w:eastAsia="Times New Roman" w:hAnsi="Papyrus" w:cs="Arial"/>
          <w:bCs/>
        </w:rPr>
        <w:t>’s library and information resources</w:t>
      </w:r>
      <w:r w:rsidRPr="003B6C36">
        <w:rPr>
          <w:rFonts w:ascii="Papyrus" w:eastAsia="Times New Roman" w:hAnsi="Papyrus" w:cs="Arial"/>
          <w:bCs/>
        </w:rPr>
        <w:t xml:space="preserve"> </w:t>
      </w:r>
      <w:r>
        <w:rPr>
          <w:rFonts w:ascii="Papyrus" w:eastAsia="Times New Roman" w:hAnsi="Papyrus" w:cs="Arial"/>
          <w:bCs/>
        </w:rPr>
        <w:t>support</w:t>
      </w:r>
      <w:r w:rsidRPr="003B6C36">
        <w:rPr>
          <w:rFonts w:ascii="Papyrus" w:eastAsia="Times New Roman" w:hAnsi="Papyrus" w:cs="Arial"/>
          <w:bCs/>
        </w:rPr>
        <w:t xml:space="preserve"> the college’s core themes. </w:t>
      </w:r>
      <w:r w:rsidR="001C0EA8">
        <w:rPr>
          <w:rFonts w:ascii="Papyrus" w:hAnsi="Papyrus"/>
        </w:rPr>
        <w:t xml:space="preserve">This team will </w:t>
      </w:r>
      <w:r w:rsidR="003D2710">
        <w:rPr>
          <w:rFonts w:ascii="Papyrus" w:hAnsi="Papyrus"/>
        </w:rPr>
        <w:t>write</w:t>
      </w:r>
      <w:r w:rsidR="001C0EA8">
        <w:rPr>
          <w:rFonts w:ascii="Papyrus" w:hAnsi="Papyrus"/>
        </w:rPr>
        <w:t xml:space="preserve"> the portion of the </w:t>
      </w:r>
      <w:r w:rsidR="001C0EA8" w:rsidRPr="00982541">
        <w:rPr>
          <w:rFonts w:ascii="Papyrus" w:hAnsi="Papyrus"/>
        </w:rPr>
        <w:t>report that address</w:t>
      </w:r>
      <w:r w:rsidR="00D32C6F" w:rsidRPr="00982541">
        <w:rPr>
          <w:rFonts w:ascii="Papyrus" w:hAnsi="Papyrus"/>
        </w:rPr>
        <w:t>es</w:t>
      </w:r>
      <w:r w:rsidR="001C0EA8" w:rsidRPr="00982541">
        <w:rPr>
          <w:rFonts w:ascii="Papyrus" w:hAnsi="Papyrus"/>
        </w:rPr>
        <w:t xml:space="preserve"> the</w:t>
      </w:r>
      <w:r w:rsidR="001C0EA8" w:rsidRPr="00982541">
        <w:rPr>
          <w:rFonts w:ascii="Papyrus" w:eastAsia="Times New Roman" w:hAnsi="Papyrus" w:cs="Arial"/>
          <w:bCs/>
        </w:rPr>
        <w:t xml:space="preserve"> </w:t>
      </w:r>
      <w:r w:rsidRPr="00982541">
        <w:rPr>
          <w:rFonts w:ascii="Papyrus" w:eastAsia="Times New Roman" w:hAnsi="Papyrus" w:cs="Arial"/>
          <w:bCs/>
        </w:rPr>
        <w:t>depth, currency and breadth of the library and information resources to support the courses</w:t>
      </w:r>
      <w:r w:rsidRPr="00D32C6F">
        <w:rPr>
          <w:rFonts w:ascii="Papyrus" w:eastAsia="Times New Roman" w:hAnsi="Papyrus" w:cs="Arial"/>
          <w:b/>
          <w:bCs/>
          <w:strike/>
          <w:color w:val="0000FF"/>
        </w:rPr>
        <w:t>,</w:t>
      </w:r>
      <w:r>
        <w:rPr>
          <w:rFonts w:ascii="Papyrus" w:eastAsia="Times New Roman" w:hAnsi="Papyrus" w:cs="Arial"/>
          <w:bCs/>
        </w:rPr>
        <w:t xml:space="preserve"> and programs offered</w:t>
      </w:r>
      <w:r w:rsidR="004609A3">
        <w:rPr>
          <w:rFonts w:ascii="Papyrus" w:eastAsia="Times New Roman" w:hAnsi="Papyrus" w:cs="Arial"/>
          <w:bCs/>
        </w:rPr>
        <w:t xml:space="preserve"> and how these resources are integrated into instruction</w:t>
      </w:r>
      <w:r>
        <w:rPr>
          <w:rFonts w:ascii="Papyrus" w:eastAsia="Times New Roman" w:hAnsi="Papyrus" w:cs="Arial"/>
          <w:bCs/>
        </w:rPr>
        <w:t xml:space="preserve">. </w:t>
      </w:r>
      <w:r w:rsidRPr="003B6C36">
        <w:rPr>
          <w:rFonts w:ascii="Papyrus" w:eastAsia="Times New Roman" w:hAnsi="Papyrus" w:cs="Arial"/>
          <w:bCs/>
        </w:rPr>
        <w:t xml:space="preserve">In addition, it will address how the college </w:t>
      </w:r>
      <w:r w:rsidR="004609A3">
        <w:rPr>
          <w:rFonts w:ascii="Papyrus" w:eastAsia="Times New Roman" w:hAnsi="Papyrus" w:cs="Arial"/>
          <w:bCs/>
        </w:rPr>
        <w:t>systematically e</w:t>
      </w:r>
      <w:r w:rsidR="004609A3" w:rsidRPr="009438E5">
        <w:rPr>
          <w:rFonts w:ascii="Papyrus" w:eastAsia="Times New Roman" w:hAnsi="Papyrus" w:cs="Arial"/>
        </w:rPr>
        <w:t>valuates the quality, adequacy, utilization, and security of library and information resources and services</w:t>
      </w:r>
      <w:r w:rsidRPr="003B6C36">
        <w:rPr>
          <w:rFonts w:ascii="Papyrus" w:eastAsia="Times New Roman" w:hAnsi="Papyrus" w:cs="Arial"/>
          <w:bCs/>
        </w:rPr>
        <w:t>.</w:t>
      </w:r>
    </w:p>
    <w:p w:rsidR="003B6C36" w:rsidRPr="003B6C36" w:rsidRDefault="003B6C36" w:rsidP="003B6C36">
      <w:pPr>
        <w:spacing w:after="0" w:line="240" w:lineRule="auto"/>
        <w:rPr>
          <w:rFonts w:ascii="Papyrus" w:eastAsia="Times New Roman" w:hAnsi="Papyrus" w:cs="Arial"/>
          <w:b/>
          <w:bCs/>
        </w:rPr>
      </w:pPr>
    </w:p>
    <w:p w:rsidR="009438E5" w:rsidRPr="009438E5" w:rsidRDefault="001C0EA8" w:rsidP="009438E5">
      <w:pPr>
        <w:spacing w:after="0" w:line="240" w:lineRule="auto"/>
        <w:rPr>
          <w:rFonts w:ascii="Papyrus" w:eastAsia="Times New Roman" w:hAnsi="Papyrus" w:cs="Arial"/>
        </w:rPr>
      </w:pPr>
      <w:r>
        <w:rPr>
          <w:rFonts w:ascii="Papyrus" w:hAnsi="Papyrus"/>
          <w:b/>
        </w:rPr>
        <w:t>The group will address in the written report the following specific a</w:t>
      </w:r>
      <w:r w:rsidRPr="00F93564">
        <w:rPr>
          <w:rFonts w:ascii="Papyrus" w:hAnsi="Papyrus"/>
          <w:b/>
        </w:rPr>
        <w:t xml:space="preserve">ccreditation </w:t>
      </w:r>
      <w:r>
        <w:rPr>
          <w:rFonts w:ascii="Papyrus" w:hAnsi="Papyrus"/>
          <w:b/>
        </w:rPr>
        <w:t>s</w:t>
      </w:r>
      <w:r w:rsidRPr="00F93564">
        <w:rPr>
          <w:rFonts w:ascii="Papyrus" w:hAnsi="Papyrus"/>
          <w:b/>
        </w:rPr>
        <w:t>tandard</w:t>
      </w:r>
      <w:r>
        <w:rPr>
          <w:rFonts w:ascii="Papyrus" w:hAnsi="Papyrus"/>
          <w:b/>
        </w:rPr>
        <w:t>s</w:t>
      </w:r>
      <w:r w:rsidRPr="00F93564">
        <w:rPr>
          <w:rFonts w:ascii="Papyrus" w:hAnsi="Papyrus"/>
          <w:b/>
        </w:rPr>
        <w:t xml:space="preserve"> </w:t>
      </w:r>
      <w:r>
        <w:rPr>
          <w:rFonts w:ascii="Papyrus" w:hAnsi="Papyrus"/>
          <w:b/>
        </w:rPr>
        <w:t>r</w:t>
      </w:r>
      <w:r w:rsidRPr="00F93564">
        <w:rPr>
          <w:rFonts w:ascii="Papyrus" w:hAnsi="Papyrus"/>
          <w:b/>
        </w:rPr>
        <w:t xml:space="preserve">elated to </w:t>
      </w:r>
      <w:r>
        <w:rPr>
          <w:rFonts w:ascii="Papyrus" w:eastAsia="Times New Roman" w:hAnsi="Papyrus" w:cs="Arial"/>
          <w:b/>
          <w:bCs/>
        </w:rPr>
        <w:t>library and information r</w:t>
      </w:r>
      <w:r w:rsidR="009438E5" w:rsidRPr="009438E5">
        <w:rPr>
          <w:rFonts w:ascii="Papyrus" w:eastAsia="Times New Roman" w:hAnsi="Papyrus" w:cs="Arial"/>
          <w:b/>
          <w:bCs/>
        </w:rPr>
        <w:t>esources</w:t>
      </w:r>
      <w:r>
        <w:rPr>
          <w:rFonts w:ascii="Papyrus" w:eastAsia="Times New Roman" w:hAnsi="Papyrus" w:cs="Arial"/>
          <w:b/>
          <w:bCs/>
        </w:rPr>
        <w:t>:</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2.E.1</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Consistent with its mission and core themes, the institution holds or provides access to library and information resources with an appropriate level of currency, depth, and breadth to support the institution’s mission, core themes, programs, and services, wherever offered and however delivered.</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2.E.2</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Planning for library and information resources is guided by data that include feedback from affected users and appropriate library and information resources faculty, staff, and administrators.</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2.E.3</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Consistent with its mission and core themes, the institution provides appropriate instruction and support for students, faculty, staff, administrators, and others (as appropriate) to enhance their efficiency and effectiveness in obtaining, evaluating, and using library and information resources that support its programs and services, wherever offered and however delivered.</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2.E.4</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The institution regularly and systematically evaluates the quality, adequacy, utilization, and security of library and information resources and services, including those provided through cooperative arrangements, wherever offered and however delivered.</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2.A.13</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Policies regarding access to and use of library and information resources—regardless of format, location, and delivery method—are documented, published, and enforced.</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2.C.6</w:t>
      </w:r>
    </w:p>
    <w:p w:rsidR="009438E5" w:rsidRPr="009438E5" w:rsidRDefault="009438E5" w:rsidP="009438E5">
      <w:pPr>
        <w:spacing w:after="0" w:line="240" w:lineRule="auto"/>
        <w:rPr>
          <w:rFonts w:ascii="Papyrus" w:eastAsia="Times New Roman" w:hAnsi="Papyrus" w:cs="Arial"/>
        </w:rPr>
      </w:pPr>
      <w:r w:rsidRPr="009438E5">
        <w:rPr>
          <w:rFonts w:ascii="Papyrus" w:eastAsia="Times New Roman" w:hAnsi="Papyrus" w:cs="Arial"/>
        </w:rPr>
        <w:t>Faculty with teaching responsibilities, in partnership with library and information resources personnel, ensure that the use of library and information resources is integrated into the learning process.</w:t>
      </w:r>
    </w:p>
    <w:p w:rsidR="00AF00A3" w:rsidRPr="009438E5" w:rsidRDefault="00AF00A3" w:rsidP="009438E5">
      <w:pPr>
        <w:spacing w:after="0" w:line="240" w:lineRule="auto"/>
        <w:rPr>
          <w:rFonts w:ascii="Papyrus" w:hAnsi="Papyrus"/>
        </w:rPr>
      </w:pPr>
    </w:p>
    <w:sectPr w:rsidR="00AF00A3" w:rsidRPr="009438E5" w:rsidSect="00AF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E5"/>
    <w:rsid w:val="001C0EA8"/>
    <w:rsid w:val="00202DE5"/>
    <w:rsid w:val="00372A9D"/>
    <w:rsid w:val="003B6C36"/>
    <w:rsid w:val="003D2710"/>
    <w:rsid w:val="003E4FB7"/>
    <w:rsid w:val="004609A3"/>
    <w:rsid w:val="00593CCB"/>
    <w:rsid w:val="006609A3"/>
    <w:rsid w:val="009438E5"/>
    <w:rsid w:val="00982541"/>
    <w:rsid w:val="00AF00A3"/>
    <w:rsid w:val="00D32C6F"/>
    <w:rsid w:val="00D90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5040">
      <w:bodyDiv w:val="1"/>
      <w:marLeft w:val="0"/>
      <w:marRight w:val="0"/>
      <w:marTop w:val="0"/>
      <w:marBottom w:val="0"/>
      <w:divBdr>
        <w:top w:val="none" w:sz="0" w:space="0" w:color="auto"/>
        <w:left w:val="none" w:sz="0" w:space="0" w:color="auto"/>
        <w:bottom w:val="none" w:sz="0" w:space="0" w:color="auto"/>
        <w:right w:val="none" w:sz="0" w:space="0" w:color="auto"/>
      </w:divBdr>
    </w:div>
    <w:div w:id="478113684">
      <w:bodyDiv w:val="1"/>
      <w:marLeft w:val="0"/>
      <w:marRight w:val="0"/>
      <w:marTop w:val="0"/>
      <w:marBottom w:val="0"/>
      <w:divBdr>
        <w:top w:val="none" w:sz="0" w:space="0" w:color="auto"/>
        <w:left w:val="none" w:sz="0" w:space="0" w:color="auto"/>
        <w:bottom w:val="none" w:sz="0" w:space="0" w:color="auto"/>
        <w:right w:val="none" w:sz="0" w:space="0" w:color="auto"/>
      </w:divBdr>
    </w:div>
    <w:div w:id="1557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2011-08-10T20:52:00Z</dcterms:created>
  <dcterms:modified xsi:type="dcterms:W3CDTF">2011-08-10T20:52:00Z</dcterms:modified>
</cp:coreProperties>
</file>